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9D9A" w14:textId="77777777" w:rsidR="002D660F" w:rsidRDefault="002D660F" w:rsidP="00F75F2D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121" w:rsidRPr="00DB4121" w14:paraId="515FD442" w14:textId="77777777" w:rsidTr="00DB4121">
        <w:tc>
          <w:tcPr>
            <w:tcW w:w="9016" w:type="dxa"/>
          </w:tcPr>
          <w:p w14:paraId="022C1E33" w14:textId="77777777"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Organisation</w:t>
            </w:r>
          </w:p>
          <w:p w14:paraId="718F4ABD" w14:textId="77777777" w:rsidR="00DB4121" w:rsidRPr="00430DAE" w:rsidRDefault="000E0B94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Hull University Teaching Hospitals NHS Trust </w:t>
            </w:r>
          </w:p>
          <w:p w14:paraId="2133280E" w14:textId="77777777" w:rsidR="00DB4121" w:rsidRPr="00430DAE" w:rsidRDefault="000E0B94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Part of Humber Heath Partnership</w:t>
            </w:r>
          </w:p>
          <w:p w14:paraId="42946126" w14:textId="77777777"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DB4121" w:rsidRPr="00DB4121" w14:paraId="25726442" w14:textId="77777777" w:rsidTr="00DB4121">
        <w:tc>
          <w:tcPr>
            <w:tcW w:w="9016" w:type="dxa"/>
          </w:tcPr>
          <w:p w14:paraId="645EBF91" w14:textId="77777777"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Locations</w:t>
            </w:r>
          </w:p>
          <w:p w14:paraId="21E8047B" w14:textId="77777777" w:rsidR="00DB4121" w:rsidRPr="00430DAE" w:rsidRDefault="000E0B94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Castle Hill Hospital, Cottingham</w:t>
            </w:r>
          </w:p>
          <w:p w14:paraId="5D009E40" w14:textId="77777777" w:rsidR="00DB4121" w:rsidRPr="00430DAE" w:rsidRDefault="000E0B94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Hull Royal Infirmary, Kingston upon Hull</w:t>
            </w:r>
          </w:p>
          <w:p w14:paraId="7BC3E699" w14:textId="77777777"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DB4121" w:rsidRPr="00DB4121" w14:paraId="5A3D6322" w14:textId="77777777" w:rsidTr="00DB4121">
        <w:tc>
          <w:tcPr>
            <w:tcW w:w="9016" w:type="dxa"/>
          </w:tcPr>
          <w:p w14:paraId="307D0860" w14:textId="77777777" w:rsid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Line Manager</w:t>
            </w:r>
          </w:p>
          <w:p w14:paraId="47B720E4" w14:textId="77777777" w:rsidR="000E0B94" w:rsidRPr="00430DAE" w:rsidRDefault="000E0B94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Nick Harrison – Head of Operational Estates</w:t>
            </w:r>
          </w:p>
          <w:p w14:paraId="5775B8BF" w14:textId="77777777" w:rsidR="00DB4121" w:rsidRPr="00DB4121" w:rsidRDefault="00DB4121" w:rsidP="0086613F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B4121" w:rsidRPr="00DB4121" w14:paraId="37F51EC7" w14:textId="77777777" w:rsidTr="00DB4121">
        <w:tc>
          <w:tcPr>
            <w:tcW w:w="9016" w:type="dxa"/>
          </w:tcPr>
          <w:p w14:paraId="0010F0D6" w14:textId="77777777" w:rsidR="00DB4121" w:rsidRPr="00E744B4" w:rsidRDefault="00DB4121" w:rsidP="00430DA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Organisation and Role Description</w:t>
            </w:r>
          </w:p>
          <w:p w14:paraId="24F40149" w14:textId="77777777" w:rsidR="001F3350" w:rsidRDefault="001F3350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Hull University Teaching Hospitals NHS Trust (HUTH) is part of the Humber Health Partnership. </w:t>
            </w:r>
          </w:p>
          <w:p w14:paraId="4A536106" w14:textId="77777777" w:rsidR="00430DAE" w:rsidRP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A7045EB" w14:textId="77777777" w:rsidR="00430DAE" w:rsidRDefault="001F3350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Our Group is one of the largest in the NHS, with a budget of over £1.4 billion, employing 17,000 staff.</w:t>
            </w:r>
          </w:p>
          <w:p w14:paraId="38854436" w14:textId="77777777" w:rsid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BB8D5B4" w14:textId="77777777" w:rsidR="00430DAE" w:rsidRDefault="001F3350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Made up of two Trusts – Hull University Teaching Hospitals NHS Trust (HUTH) and Northern Lincolnshire and Goole NHS Foundation Trust (NLAG) – we’re committed to delivering world-class services for the 1.65 million people we serve.</w:t>
            </w:r>
          </w:p>
          <w:p w14:paraId="58E02EEB" w14:textId="77777777" w:rsid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CAAA31A" w14:textId="14688FFE" w:rsidR="00430DAE" w:rsidRDefault="001F3350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Our five main hospital sites are Castle Hill Hospital, Diana Princess of Wales Hospital, Goole and District Hospital, Hull Royal Infirmary, and Scunthorpe General Hospital. We deliver a wide range of community services </w:t>
            </w:r>
            <w:r w:rsidRPr="00AC310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across </w:t>
            </w:r>
            <w:r w:rsidR="00AC310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East Yorkshire, </w:t>
            </w:r>
            <w:r w:rsidRPr="00AC3101">
              <w:rPr>
                <w:rFonts w:cstheme="minorHAnsi"/>
                <w:bCs/>
                <w:color w:val="000000" w:themeColor="text1"/>
                <w:sz w:val="24"/>
                <w:szCs w:val="24"/>
              </w:rPr>
              <w:t>North and North East Lincolnshire</w:t>
            </w: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including district nursing, physiotherapy, psychology, podiatry and specialist dental services.</w:t>
            </w:r>
          </w:p>
          <w:p w14:paraId="46427B68" w14:textId="77777777" w:rsid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BD91E00" w14:textId="77777777" w:rsidR="00430DAE" w:rsidRDefault="001F3350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We see well over a million patients every year with around 275,000 attendances at our emergency departments, 214,000 hospital admissions and more than a million outpatient appointments. We deliver around 8,700 babies each year and our community services provide vital healthcare to patients in their own homes.</w:t>
            </w:r>
          </w:p>
          <w:p w14:paraId="5B4036C0" w14:textId="77777777" w:rsid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80C94F8" w14:textId="77777777" w:rsidR="00430DAE" w:rsidRDefault="001F3350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As Teaching Hospitals working with the Hull York Medical School, we are a UK leader in research and innovation.</w:t>
            </w:r>
          </w:p>
          <w:p w14:paraId="6211350D" w14:textId="77777777" w:rsid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FE20232" w14:textId="15BBD619" w:rsidR="001F3350" w:rsidRDefault="001F3350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We’ve also been recognised for our work in supporting veterans, newly qualified nurses and our international recruitment programme.</w:t>
            </w:r>
          </w:p>
          <w:p w14:paraId="645F1197" w14:textId="77777777" w:rsidR="00430DAE" w:rsidRP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C7B13E0" w14:textId="35D6B52A" w:rsidR="001F3350" w:rsidRDefault="001F3350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This position</w:t>
            </w:r>
            <w:r w:rsidR="00E744B4"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of Graduate Estates Trainee (Engineering)</w:t>
            </w: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will be based on the North Ba</w:t>
            </w:r>
            <w:r w:rsidR="00430DAE"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k at Hull University Teaching Hospitals NHS Trust (Castle Hill Hospital and Hull Royal Infirmary) and will be based within the Estates, Facilities and Development Directorate.</w:t>
            </w:r>
          </w:p>
          <w:p w14:paraId="69F8F695" w14:textId="77777777" w:rsidR="00430DAE" w:rsidRP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8B65ECD" w14:textId="77777777" w:rsidR="003249CB" w:rsidRDefault="001F3350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As part of this role, you will be</w:t>
            </w:r>
            <w:r w:rsidR="00AC330C"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involved with the </w:t>
            </w:r>
            <w:r w:rsidR="003249CB"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following areas of specialism – </w:t>
            </w:r>
          </w:p>
          <w:p w14:paraId="3E1CFF7A" w14:textId="77777777" w:rsidR="00430DAE" w:rsidRP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75FC3EE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Building Services</w:t>
            </w:r>
          </w:p>
          <w:p w14:paraId="7FEC32D6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Electrical Services</w:t>
            </w:r>
          </w:p>
          <w:p w14:paraId="2367307C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Mechanical Services</w:t>
            </w:r>
          </w:p>
          <w:p w14:paraId="48BBB886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Information and Governance</w:t>
            </w:r>
          </w:p>
          <w:p w14:paraId="64A2BE5A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Asbestos Management</w:t>
            </w:r>
          </w:p>
          <w:p w14:paraId="526D5C15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Fire Management</w:t>
            </w:r>
          </w:p>
          <w:p w14:paraId="48728638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Finance</w:t>
            </w:r>
          </w:p>
          <w:p w14:paraId="6C93DE18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Repairs and Maintenance</w:t>
            </w:r>
          </w:p>
          <w:p w14:paraId="7FBC310E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Recruitment and Training</w:t>
            </w:r>
          </w:p>
          <w:p w14:paraId="71B2ED7B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Project Management</w:t>
            </w:r>
          </w:p>
          <w:p w14:paraId="784D6A36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Sustainability</w:t>
            </w:r>
          </w:p>
          <w:p w14:paraId="4CF0946D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Facilities Management</w:t>
            </w:r>
          </w:p>
          <w:p w14:paraId="447AE859" w14:textId="77777777" w:rsidR="00AC330C" w:rsidRPr="00430DAE" w:rsidRDefault="00AC330C" w:rsidP="00430DA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Contract Management</w:t>
            </w:r>
          </w:p>
          <w:p w14:paraId="044FD23B" w14:textId="77777777" w:rsidR="00430DAE" w:rsidRPr="00430DAE" w:rsidRDefault="00430DAE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A307480" w14:textId="77777777" w:rsidR="00DB4121" w:rsidRPr="00430DAE" w:rsidRDefault="003249CB" w:rsidP="00430DA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Working alongside professional staff </w:t>
            </w:r>
            <w:r w:rsidR="00E744B4"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across the department’s services and specialities with support, </w:t>
            </w: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advice and mentoring </w:t>
            </w:r>
            <w:r w:rsidR="00E744B4"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from the relevant staff </w:t>
            </w:r>
            <w:r w:rsidRPr="00430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within their specialist roles.</w:t>
            </w:r>
          </w:p>
          <w:p w14:paraId="6FF227FE" w14:textId="77777777" w:rsidR="00DB4121" w:rsidRPr="00DB4121" w:rsidRDefault="00DB4121" w:rsidP="00430DAE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51AA9A86" w14:textId="77777777" w:rsidR="00E00D9E" w:rsidRDefault="00E00D9E" w:rsidP="001D02F1">
      <w:pPr>
        <w:spacing w:after="0" w:line="240" w:lineRule="auto"/>
        <w:jc w:val="both"/>
        <w:rPr>
          <w:sz w:val="24"/>
          <w:szCs w:val="24"/>
        </w:rPr>
      </w:pPr>
    </w:p>
    <w:sectPr w:rsidR="00E00D9E" w:rsidSect="00DB412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47A6C" w14:textId="77777777" w:rsidR="00375CD3" w:rsidRDefault="00375CD3" w:rsidP="00BF106A">
      <w:pPr>
        <w:spacing w:after="0" w:line="240" w:lineRule="auto"/>
      </w:pPr>
      <w:r>
        <w:separator/>
      </w:r>
    </w:p>
  </w:endnote>
  <w:endnote w:type="continuationSeparator" w:id="0">
    <w:p w14:paraId="5F60FCD2" w14:textId="77777777" w:rsidR="00375CD3" w:rsidRDefault="00375CD3" w:rsidP="00BF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3BC9" w14:textId="77777777" w:rsidR="00375CD3" w:rsidRDefault="00375CD3" w:rsidP="00BF106A">
      <w:pPr>
        <w:spacing w:after="0" w:line="240" w:lineRule="auto"/>
      </w:pPr>
      <w:r>
        <w:separator/>
      </w:r>
    </w:p>
  </w:footnote>
  <w:footnote w:type="continuationSeparator" w:id="0">
    <w:p w14:paraId="189BA598" w14:textId="77777777" w:rsidR="00375CD3" w:rsidRDefault="00375CD3" w:rsidP="00BF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5485" w14:textId="77777777" w:rsidR="001D02F1" w:rsidRDefault="001D02F1" w:rsidP="00DB4121">
    <w:pPr>
      <w:pStyle w:val="Header"/>
      <w:tabs>
        <w:tab w:val="clear" w:pos="4513"/>
        <w:tab w:val="clear" w:pos="9026"/>
      </w:tabs>
      <w:jc w:val="center"/>
      <w:rPr>
        <w:b/>
        <w:sz w:val="28"/>
        <w:szCs w:val="28"/>
      </w:rPr>
    </w:pPr>
  </w:p>
  <w:p w14:paraId="7CF67177" w14:textId="77777777" w:rsidR="001D02F1" w:rsidRDefault="001D02F1" w:rsidP="00DB4121">
    <w:pPr>
      <w:pStyle w:val="Header"/>
      <w:tabs>
        <w:tab w:val="clear" w:pos="4513"/>
        <w:tab w:val="clear" w:pos="9026"/>
      </w:tabs>
      <w:jc w:val="center"/>
      <w:rPr>
        <w:b/>
        <w:sz w:val="28"/>
        <w:szCs w:val="28"/>
      </w:rPr>
    </w:pPr>
  </w:p>
  <w:p w14:paraId="156BEBE0" w14:textId="77777777" w:rsidR="00BF106A" w:rsidRPr="00DB4121" w:rsidRDefault="00021837" w:rsidP="00DB4121">
    <w:pPr>
      <w:pStyle w:val="Header"/>
      <w:tabs>
        <w:tab w:val="clear" w:pos="4513"/>
        <w:tab w:val="clear" w:pos="9026"/>
      </w:tabs>
      <w:jc w:val="center"/>
      <w:rPr>
        <w:b/>
        <w:sz w:val="28"/>
        <w:szCs w:val="28"/>
      </w:rPr>
    </w:pPr>
    <w:r w:rsidRPr="001D02F1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6D824334" wp14:editId="39592504">
          <wp:simplePos x="0" y="0"/>
          <wp:positionH relativeFrom="column">
            <wp:posOffset>4069080</wp:posOffset>
          </wp:positionH>
          <wp:positionV relativeFrom="paragraph">
            <wp:posOffset>-394970</wp:posOffset>
          </wp:positionV>
          <wp:extent cx="1120140" cy="1120140"/>
          <wp:effectExtent l="0" t="0" r="381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2F1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BEDDF80" wp14:editId="5FA3EB31">
          <wp:simplePos x="0" y="0"/>
          <wp:positionH relativeFrom="margin">
            <wp:align>left</wp:align>
          </wp:positionH>
          <wp:positionV relativeFrom="paragraph">
            <wp:posOffset>-438150</wp:posOffset>
          </wp:positionV>
          <wp:extent cx="1181100" cy="11912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NHS CIRCLE 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9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121" w:rsidRPr="001D02F1">
      <w:rPr>
        <w:b/>
        <w:sz w:val="28"/>
        <w:szCs w:val="28"/>
      </w:rPr>
      <w:t>A</w:t>
    </w:r>
    <w:r w:rsidR="00DB4121" w:rsidRPr="00DB4121">
      <w:rPr>
        <w:b/>
        <w:sz w:val="28"/>
        <w:szCs w:val="28"/>
      </w:rPr>
      <w:t>ppendix to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AB0"/>
    <w:multiLevelType w:val="hybridMultilevel"/>
    <w:tmpl w:val="8584A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A4F43"/>
    <w:multiLevelType w:val="hybridMultilevel"/>
    <w:tmpl w:val="1A3E2E9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50A21"/>
    <w:multiLevelType w:val="hybridMultilevel"/>
    <w:tmpl w:val="9212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0F6"/>
    <w:multiLevelType w:val="hybridMultilevel"/>
    <w:tmpl w:val="FB6E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131"/>
    <w:multiLevelType w:val="hybridMultilevel"/>
    <w:tmpl w:val="25AA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7C4C"/>
    <w:multiLevelType w:val="hybridMultilevel"/>
    <w:tmpl w:val="B07E5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303FA"/>
    <w:multiLevelType w:val="hybridMultilevel"/>
    <w:tmpl w:val="62A81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4394"/>
    <w:multiLevelType w:val="hybridMultilevel"/>
    <w:tmpl w:val="F9AA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10C2"/>
    <w:multiLevelType w:val="hybridMultilevel"/>
    <w:tmpl w:val="18E2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5DC7"/>
    <w:multiLevelType w:val="multilevel"/>
    <w:tmpl w:val="CA9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4C5657"/>
    <w:multiLevelType w:val="hybridMultilevel"/>
    <w:tmpl w:val="2FA06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A3294"/>
    <w:multiLevelType w:val="multilevel"/>
    <w:tmpl w:val="13A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F5159F"/>
    <w:multiLevelType w:val="hybridMultilevel"/>
    <w:tmpl w:val="50C63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43F84"/>
    <w:multiLevelType w:val="multilevel"/>
    <w:tmpl w:val="DD16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0869D6"/>
    <w:multiLevelType w:val="hybridMultilevel"/>
    <w:tmpl w:val="0A2A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B53E8"/>
    <w:multiLevelType w:val="hybridMultilevel"/>
    <w:tmpl w:val="70BE9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03CE"/>
    <w:multiLevelType w:val="multilevel"/>
    <w:tmpl w:val="4286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C4D6E"/>
    <w:multiLevelType w:val="hybridMultilevel"/>
    <w:tmpl w:val="89FE3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75AA3"/>
    <w:multiLevelType w:val="hybridMultilevel"/>
    <w:tmpl w:val="C4E41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2234E3"/>
    <w:multiLevelType w:val="hybridMultilevel"/>
    <w:tmpl w:val="5D6A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844C4"/>
    <w:multiLevelType w:val="multilevel"/>
    <w:tmpl w:val="4AC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4D62C9"/>
    <w:multiLevelType w:val="hybridMultilevel"/>
    <w:tmpl w:val="2DD6B3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523A0B"/>
    <w:multiLevelType w:val="hybridMultilevel"/>
    <w:tmpl w:val="7218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51BAB"/>
    <w:multiLevelType w:val="multilevel"/>
    <w:tmpl w:val="6EF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041DC8"/>
    <w:multiLevelType w:val="hybridMultilevel"/>
    <w:tmpl w:val="663E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C40F6"/>
    <w:multiLevelType w:val="hybridMultilevel"/>
    <w:tmpl w:val="37AE7C5A"/>
    <w:lvl w:ilvl="0" w:tplc="56881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22A89"/>
    <w:multiLevelType w:val="multilevel"/>
    <w:tmpl w:val="124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0D64F2"/>
    <w:multiLevelType w:val="hybridMultilevel"/>
    <w:tmpl w:val="EC46C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C604F1"/>
    <w:multiLevelType w:val="hybridMultilevel"/>
    <w:tmpl w:val="9626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0"/>
  </w:num>
  <w:num w:numId="5">
    <w:abstractNumId w:val="7"/>
  </w:num>
  <w:num w:numId="6">
    <w:abstractNumId w:val="4"/>
  </w:num>
  <w:num w:numId="7">
    <w:abstractNumId w:val="22"/>
  </w:num>
  <w:num w:numId="8">
    <w:abstractNumId w:val="28"/>
  </w:num>
  <w:num w:numId="9">
    <w:abstractNumId w:val="25"/>
  </w:num>
  <w:num w:numId="10">
    <w:abstractNumId w:val="21"/>
  </w:num>
  <w:num w:numId="11">
    <w:abstractNumId w:val="6"/>
  </w:num>
  <w:num w:numId="12">
    <w:abstractNumId w:val="16"/>
  </w:num>
  <w:num w:numId="13">
    <w:abstractNumId w:val="8"/>
  </w:num>
  <w:num w:numId="14">
    <w:abstractNumId w:val="19"/>
  </w:num>
  <w:num w:numId="15">
    <w:abstractNumId w:val="24"/>
  </w:num>
  <w:num w:numId="16">
    <w:abstractNumId w:val="1"/>
  </w:num>
  <w:num w:numId="17">
    <w:abstractNumId w:val="14"/>
  </w:num>
  <w:num w:numId="18">
    <w:abstractNumId w:val="15"/>
  </w:num>
  <w:num w:numId="19">
    <w:abstractNumId w:val="9"/>
  </w:num>
  <w:num w:numId="20">
    <w:abstractNumId w:val="11"/>
  </w:num>
  <w:num w:numId="21">
    <w:abstractNumId w:val="23"/>
  </w:num>
  <w:num w:numId="22">
    <w:abstractNumId w:val="26"/>
  </w:num>
  <w:num w:numId="23">
    <w:abstractNumId w:val="13"/>
  </w:num>
  <w:num w:numId="24">
    <w:abstractNumId w:val="10"/>
  </w:num>
  <w:num w:numId="25">
    <w:abstractNumId w:val="18"/>
  </w:num>
  <w:num w:numId="26">
    <w:abstractNumId w:val="5"/>
  </w:num>
  <w:num w:numId="27">
    <w:abstractNumId w:val="27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A"/>
    <w:rsid w:val="00021837"/>
    <w:rsid w:val="000E0B94"/>
    <w:rsid w:val="001D02F1"/>
    <w:rsid w:val="001F3350"/>
    <w:rsid w:val="00230CC2"/>
    <w:rsid w:val="00231CAD"/>
    <w:rsid w:val="0024423E"/>
    <w:rsid w:val="002478C6"/>
    <w:rsid w:val="00275801"/>
    <w:rsid w:val="002C7BF2"/>
    <w:rsid w:val="002D660F"/>
    <w:rsid w:val="002E39DF"/>
    <w:rsid w:val="003249CB"/>
    <w:rsid w:val="00375CD3"/>
    <w:rsid w:val="003C3D6C"/>
    <w:rsid w:val="00430DAE"/>
    <w:rsid w:val="00441ACB"/>
    <w:rsid w:val="004628D2"/>
    <w:rsid w:val="00482951"/>
    <w:rsid w:val="004855E2"/>
    <w:rsid w:val="004B3739"/>
    <w:rsid w:val="004D388A"/>
    <w:rsid w:val="004F6337"/>
    <w:rsid w:val="00541762"/>
    <w:rsid w:val="00557331"/>
    <w:rsid w:val="005866B6"/>
    <w:rsid w:val="00602D69"/>
    <w:rsid w:val="006106EE"/>
    <w:rsid w:val="00635434"/>
    <w:rsid w:val="006B4F15"/>
    <w:rsid w:val="006C5777"/>
    <w:rsid w:val="006E62B4"/>
    <w:rsid w:val="006E7192"/>
    <w:rsid w:val="006F480F"/>
    <w:rsid w:val="00793C49"/>
    <w:rsid w:val="007B3C6C"/>
    <w:rsid w:val="007E6034"/>
    <w:rsid w:val="008308CE"/>
    <w:rsid w:val="00832AF0"/>
    <w:rsid w:val="008978DF"/>
    <w:rsid w:val="008F044C"/>
    <w:rsid w:val="0096119E"/>
    <w:rsid w:val="00992C4D"/>
    <w:rsid w:val="009C3FCB"/>
    <w:rsid w:val="009D4BCE"/>
    <w:rsid w:val="009F591A"/>
    <w:rsid w:val="00A42B89"/>
    <w:rsid w:val="00AA0144"/>
    <w:rsid w:val="00AB0277"/>
    <w:rsid w:val="00AC3101"/>
    <w:rsid w:val="00AC330C"/>
    <w:rsid w:val="00AD1F27"/>
    <w:rsid w:val="00BF106A"/>
    <w:rsid w:val="00C8246F"/>
    <w:rsid w:val="00C93F10"/>
    <w:rsid w:val="00C94946"/>
    <w:rsid w:val="00CB54E9"/>
    <w:rsid w:val="00D174E4"/>
    <w:rsid w:val="00D47CDA"/>
    <w:rsid w:val="00DB4121"/>
    <w:rsid w:val="00E00D9E"/>
    <w:rsid w:val="00E13680"/>
    <w:rsid w:val="00E310BE"/>
    <w:rsid w:val="00E64C92"/>
    <w:rsid w:val="00E744B4"/>
    <w:rsid w:val="00EC55D0"/>
    <w:rsid w:val="00F07D73"/>
    <w:rsid w:val="00F14D2E"/>
    <w:rsid w:val="00F75F2D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A3C16"/>
  <w15:chartTrackingRefBased/>
  <w15:docId w15:val="{CE301797-6D38-443B-A128-FDCC858A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6A"/>
  </w:style>
  <w:style w:type="paragraph" w:styleId="Footer">
    <w:name w:val="footer"/>
    <w:basedOn w:val="Normal"/>
    <w:link w:val="FooterChar"/>
    <w:uiPriority w:val="99"/>
    <w:unhideWhenUsed/>
    <w:rsid w:val="00BF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6A"/>
  </w:style>
  <w:style w:type="table" w:styleId="TableGrid">
    <w:name w:val="Table Grid"/>
    <w:basedOn w:val="TableNormal"/>
    <w:uiPriority w:val="39"/>
    <w:rsid w:val="003C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54E9"/>
    <w:pPr>
      <w:ind w:left="720"/>
      <w:contextualSpacing/>
    </w:pPr>
  </w:style>
  <w:style w:type="character" w:customStyle="1" w:styleId="normaltextrun">
    <w:name w:val="normaltextrun"/>
    <w:basedOn w:val="DefaultParagraphFont"/>
    <w:rsid w:val="00557331"/>
  </w:style>
  <w:style w:type="character" w:customStyle="1" w:styleId="eop">
    <w:name w:val="eop"/>
    <w:basedOn w:val="DefaultParagraphFont"/>
    <w:rsid w:val="00557331"/>
  </w:style>
  <w:style w:type="character" w:styleId="Hyperlink">
    <w:name w:val="Hyperlink"/>
    <w:basedOn w:val="DefaultParagraphFont"/>
    <w:uiPriority w:val="99"/>
    <w:unhideWhenUsed/>
    <w:rsid w:val="0055733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28D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541762"/>
    <w:pPr>
      <w:spacing w:after="120" w:line="276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762"/>
    <w:rPr>
      <w:rFonts w:ascii="Arial" w:hAnsi="Arial"/>
    </w:rPr>
  </w:style>
  <w:style w:type="paragraph" w:customStyle="1" w:styleId="Default">
    <w:name w:val="Default"/>
    <w:rsid w:val="00541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C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C7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76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C96B5867DAD4AB7D265B8E942B5B0" ma:contentTypeVersion="6" ma:contentTypeDescription="Create a new document." ma:contentTypeScope="" ma:versionID="32c2fb98cdd2b709f6238e903297a295">
  <xsd:schema xmlns:xsd="http://www.w3.org/2001/XMLSchema" xmlns:xs="http://www.w3.org/2001/XMLSchema" xmlns:p="http://schemas.microsoft.com/office/2006/metadata/properties" xmlns:ns2="9cc9b5e5-3fc4-461d-b6c1-e5b65f5efcf2" xmlns:ns3="3fd66ddc-4b3e-41d6-afe2-e040df1ba44e" targetNamespace="http://schemas.microsoft.com/office/2006/metadata/properties" ma:root="true" ma:fieldsID="a29240d99831d425471e9f9da7794685" ns2:_="" ns3:_="">
    <xsd:import namespace="9cc9b5e5-3fc4-461d-b6c1-e5b65f5efcf2"/>
    <xsd:import namespace="3fd66ddc-4b3e-41d6-afe2-e040df1ba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9b5e5-3fc4-461d-b6c1-e5b65f5ef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6ddc-4b3e-41d6-afe2-e040df1ba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06BFB-0A33-4441-9EEE-3FEB208C49C1}">
  <ds:schemaRefs>
    <ds:schemaRef ds:uri="http://schemas.microsoft.com/office/2006/documentManagement/types"/>
    <ds:schemaRef ds:uri="9cc9b5e5-3fc4-461d-b6c1-e5b65f5efcf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3fd66ddc-4b3e-41d6-afe2-e040df1ba4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ADDA56-54B9-47B9-A525-A745F4ECC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4E44A-CD00-4449-BA1A-D9FCE92C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9b5e5-3fc4-461d-b6c1-e5b65f5efcf2"/>
    <ds:schemaRef ds:uri="3fd66ddc-4b3e-41d6-afe2-e040df1ba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 Lauren (RCD)</dc:creator>
  <cp:keywords/>
  <dc:description/>
  <cp:lastModifiedBy>Booth Nigel [RCD]</cp:lastModifiedBy>
  <cp:revision>2</cp:revision>
  <dcterms:created xsi:type="dcterms:W3CDTF">2024-12-19T08:51:00Z</dcterms:created>
  <dcterms:modified xsi:type="dcterms:W3CDTF">2024-12-19T08:51:00Z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0x010100016C96B5867DAD4AB7D265B8E942B5B0</vt:lpwstr>
  </property>
</Properties>
</file>